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C3E5B0" w14:textId="77777777" w:rsidR="004F425E" w:rsidRDefault="004F425E" w:rsidP="004F425E">
      <w:pPr>
        <w:ind w:right="1280"/>
        <w:rPr>
          <w:rFonts w:ascii="仿宋" w:eastAsia="仿宋" w:hAnsi="仿宋" w:cs="仿宋"/>
          <w:sz w:val="24"/>
        </w:rPr>
      </w:pPr>
      <w:r>
        <w:rPr>
          <w:rFonts w:ascii="仿宋" w:eastAsia="仿宋" w:hAnsi="仿宋" w:cs="仿宋" w:hint="eastAsia"/>
          <w:sz w:val="32"/>
          <w:szCs w:val="32"/>
        </w:rPr>
        <w:t>附件2</w:t>
      </w:r>
    </w:p>
    <w:p w14:paraId="284F7D96" w14:textId="3144DC3C" w:rsidR="004F425E" w:rsidRDefault="00DA1B49" w:rsidP="004F425E">
      <w:pPr>
        <w:jc w:val="center"/>
        <w:rPr>
          <w:rFonts w:ascii="黑体" w:eastAsia="黑体" w:hAnsi="黑体" w:cs="仿宋"/>
          <w:sz w:val="44"/>
          <w:szCs w:val="32"/>
        </w:rPr>
      </w:pPr>
      <w:r>
        <w:rPr>
          <w:rFonts w:ascii="黑体" w:eastAsia="黑体" w:hAnsi="黑体" w:cs="仿宋" w:hint="eastAsia"/>
          <w:sz w:val="44"/>
          <w:szCs w:val="32"/>
        </w:rPr>
        <w:t>2025年</w:t>
      </w:r>
      <w:r w:rsidR="004F425E">
        <w:rPr>
          <w:rFonts w:ascii="黑体" w:eastAsia="黑体" w:hAnsi="黑体" w:cs="仿宋" w:hint="eastAsia"/>
          <w:sz w:val="44"/>
          <w:szCs w:val="32"/>
        </w:rPr>
        <w:t>国家战略前沿专项资助清单</w:t>
      </w:r>
    </w:p>
    <w:p w14:paraId="0C91A582" w14:textId="77777777" w:rsidR="004F425E" w:rsidRDefault="004F425E" w:rsidP="004F425E">
      <w:pPr>
        <w:jc w:val="center"/>
        <w:rPr>
          <w:rFonts w:ascii="黑体" w:eastAsia="黑体" w:hAnsi="黑体" w:cs="仿宋"/>
          <w:sz w:val="44"/>
          <w:szCs w:val="32"/>
        </w:rPr>
      </w:pPr>
      <w:r>
        <w:rPr>
          <w:rFonts w:ascii="黑体" w:eastAsia="黑体" w:hAnsi="黑体" w:cs="仿宋" w:hint="eastAsia"/>
          <w:sz w:val="44"/>
          <w:szCs w:val="32"/>
        </w:rPr>
        <w:t>（共14项）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2"/>
        <w:gridCol w:w="2953"/>
        <w:gridCol w:w="1821"/>
        <w:gridCol w:w="969"/>
        <w:gridCol w:w="828"/>
        <w:gridCol w:w="833"/>
      </w:tblGrid>
      <w:tr w:rsidR="004F425E" w14:paraId="655922D4" w14:textId="77777777" w:rsidTr="007D1592">
        <w:trPr>
          <w:trHeight w:val="990"/>
          <w:jc w:val="center"/>
        </w:trPr>
        <w:tc>
          <w:tcPr>
            <w:tcW w:w="904" w:type="dxa"/>
            <w:vAlign w:val="center"/>
          </w:tcPr>
          <w:p w14:paraId="4A8720AD"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b/>
                <w:bCs/>
                <w:sz w:val="24"/>
              </w:rPr>
              <w:t>序号</w:t>
            </w:r>
          </w:p>
        </w:tc>
        <w:tc>
          <w:tcPr>
            <w:tcW w:w="3016" w:type="dxa"/>
            <w:vAlign w:val="center"/>
          </w:tcPr>
          <w:p w14:paraId="3CFD6C62"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b/>
                <w:bCs/>
                <w:sz w:val="24"/>
              </w:rPr>
              <w:t>项目名称</w:t>
            </w:r>
          </w:p>
        </w:tc>
        <w:tc>
          <w:tcPr>
            <w:tcW w:w="1852" w:type="dxa"/>
            <w:vAlign w:val="center"/>
          </w:tcPr>
          <w:p w14:paraId="6133B5C7"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b/>
                <w:bCs/>
                <w:sz w:val="24"/>
              </w:rPr>
              <w:t>所在单位（学院）</w:t>
            </w:r>
          </w:p>
        </w:tc>
        <w:tc>
          <w:tcPr>
            <w:tcW w:w="983" w:type="dxa"/>
            <w:vAlign w:val="center"/>
          </w:tcPr>
          <w:p w14:paraId="17D18CC1"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b/>
                <w:bCs/>
                <w:sz w:val="24"/>
              </w:rPr>
              <w:t>申请人</w:t>
            </w:r>
          </w:p>
        </w:tc>
        <w:tc>
          <w:tcPr>
            <w:tcW w:w="838" w:type="dxa"/>
            <w:vAlign w:val="center"/>
          </w:tcPr>
          <w:p w14:paraId="5D118C72"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b/>
                <w:bCs/>
                <w:sz w:val="24"/>
              </w:rPr>
              <w:t>研究方向</w:t>
            </w:r>
          </w:p>
        </w:tc>
        <w:tc>
          <w:tcPr>
            <w:tcW w:w="837" w:type="dxa"/>
            <w:vAlign w:val="center"/>
          </w:tcPr>
          <w:p w14:paraId="0545E46F"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b/>
                <w:bCs/>
                <w:sz w:val="24"/>
              </w:rPr>
              <w:t>批准资助经费（万元）</w:t>
            </w:r>
          </w:p>
        </w:tc>
      </w:tr>
      <w:tr w:rsidR="004F425E" w14:paraId="24F50C60" w14:textId="77777777" w:rsidTr="007D1592">
        <w:trPr>
          <w:trHeight w:val="990"/>
          <w:jc w:val="center"/>
        </w:trPr>
        <w:tc>
          <w:tcPr>
            <w:tcW w:w="904" w:type="dxa"/>
            <w:shd w:val="clear" w:color="auto" w:fill="auto"/>
            <w:vAlign w:val="center"/>
          </w:tcPr>
          <w:p w14:paraId="279A1B2C"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shd w:val="clear" w:color="auto" w:fill="auto"/>
            <w:vAlign w:val="center"/>
          </w:tcPr>
          <w:p w14:paraId="5E113FFF"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马克思主义统一战线思想及当代价值研究</w:t>
            </w:r>
          </w:p>
        </w:tc>
        <w:tc>
          <w:tcPr>
            <w:tcW w:w="1852" w:type="dxa"/>
            <w:shd w:val="clear" w:color="auto" w:fill="auto"/>
            <w:vAlign w:val="center"/>
          </w:tcPr>
          <w:p w14:paraId="56D111BF"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马克思主义学院</w:t>
            </w:r>
          </w:p>
        </w:tc>
        <w:tc>
          <w:tcPr>
            <w:tcW w:w="983" w:type="dxa"/>
            <w:shd w:val="clear" w:color="auto" w:fill="FFFFFF"/>
            <w:vAlign w:val="center"/>
          </w:tcPr>
          <w:p w14:paraId="2DA2ACBF" w14:textId="77777777" w:rsidR="004F425E" w:rsidRDefault="004F425E" w:rsidP="007D159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王</w:t>
            </w:r>
            <w:proofErr w:type="gramStart"/>
            <w:r>
              <w:rPr>
                <w:rFonts w:ascii="仿宋" w:eastAsia="仿宋" w:hAnsi="仿宋" w:cs="仿宋" w:hint="eastAsia"/>
                <w:color w:val="000000"/>
                <w:kern w:val="0"/>
                <w:sz w:val="24"/>
                <w:lang w:bidi="ar"/>
              </w:rPr>
              <w:t>坚</w:t>
            </w:r>
            <w:proofErr w:type="gramEnd"/>
          </w:p>
        </w:tc>
        <w:tc>
          <w:tcPr>
            <w:tcW w:w="838" w:type="dxa"/>
            <w:vMerge w:val="restart"/>
            <w:vAlign w:val="center"/>
          </w:tcPr>
          <w:p w14:paraId="54C9E57D" w14:textId="77777777" w:rsidR="004F425E" w:rsidRDefault="004F425E" w:rsidP="007D1592">
            <w:pPr>
              <w:spacing w:line="300" w:lineRule="exact"/>
              <w:jc w:val="center"/>
              <w:rPr>
                <w:rFonts w:ascii="仿宋" w:eastAsia="仿宋" w:hAnsi="仿宋" w:cs="仿宋"/>
                <w:sz w:val="24"/>
              </w:rPr>
            </w:pPr>
            <w:r>
              <w:rPr>
                <w:rFonts w:ascii="仿宋" w:eastAsia="仿宋" w:hAnsi="仿宋" w:cs="仿宋" w:hint="eastAsia"/>
                <w:sz w:val="24"/>
              </w:rPr>
              <w:t>大</w:t>
            </w:r>
            <w:proofErr w:type="gramStart"/>
            <w:r>
              <w:rPr>
                <w:rFonts w:ascii="仿宋" w:eastAsia="仿宋" w:hAnsi="仿宋" w:cs="仿宋" w:hint="eastAsia"/>
                <w:sz w:val="24"/>
              </w:rPr>
              <w:t>统战专项</w:t>
            </w:r>
            <w:proofErr w:type="gramEnd"/>
          </w:p>
        </w:tc>
        <w:tc>
          <w:tcPr>
            <w:tcW w:w="837" w:type="dxa"/>
            <w:vAlign w:val="center"/>
          </w:tcPr>
          <w:p w14:paraId="6075DEE6" w14:textId="77777777" w:rsidR="004F425E" w:rsidRDefault="004F425E" w:rsidP="007D1592">
            <w:pPr>
              <w:spacing w:line="300" w:lineRule="exact"/>
              <w:jc w:val="center"/>
              <w:rPr>
                <w:rFonts w:ascii="仿宋" w:eastAsia="仿宋" w:hAnsi="仿宋" w:cs="仿宋"/>
                <w:sz w:val="24"/>
              </w:rPr>
            </w:pPr>
            <w:r>
              <w:rPr>
                <w:rFonts w:ascii="仿宋" w:eastAsia="仿宋" w:hAnsi="仿宋" w:cs="仿宋" w:hint="eastAsia"/>
                <w:sz w:val="24"/>
              </w:rPr>
              <w:t>10</w:t>
            </w:r>
          </w:p>
        </w:tc>
      </w:tr>
      <w:tr w:rsidR="004F425E" w14:paraId="7305C63B" w14:textId="77777777" w:rsidTr="007D1592">
        <w:trPr>
          <w:trHeight w:val="990"/>
          <w:jc w:val="center"/>
        </w:trPr>
        <w:tc>
          <w:tcPr>
            <w:tcW w:w="904" w:type="dxa"/>
            <w:vAlign w:val="center"/>
          </w:tcPr>
          <w:p w14:paraId="67E88B26"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5F2F2D8F"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当代美国华裔新生代祖籍国身份认同困境与对策研究</w:t>
            </w:r>
          </w:p>
        </w:tc>
        <w:tc>
          <w:tcPr>
            <w:tcW w:w="1852" w:type="dxa"/>
            <w:vAlign w:val="center"/>
          </w:tcPr>
          <w:p w14:paraId="2FF3B159"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国际关系学院/华侨华人研究院</w:t>
            </w:r>
          </w:p>
        </w:tc>
        <w:tc>
          <w:tcPr>
            <w:tcW w:w="983" w:type="dxa"/>
            <w:vAlign w:val="center"/>
          </w:tcPr>
          <w:p w14:paraId="32E77A7A"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都郁</w:t>
            </w:r>
            <w:proofErr w:type="gramEnd"/>
          </w:p>
        </w:tc>
        <w:tc>
          <w:tcPr>
            <w:tcW w:w="838" w:type="dxa"/>
            <w:vMerge/>
            <w:vAlign w:val="center"/>
          </w:tcPr>
          <w:p w14:paraId="7552574F"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72EC6C5B"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391F1289" w14:textId="77777777" w:rsidTr="007D1592">
        <w:trPr>
          <w:trHeight w:val="990"/>
          <w:jc w:val="center"/>
        </w:trPr>
        <w:tc>
          <w:tcPr>
            <w:tcW w:w="904" w:type="dxa"/>
            <w:vAlign w:val="center"/>
          </w:tcPr>
          <w:p w14:paraId="3F92CA48"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7D6707F1"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海外社交媒体中香港议题的舆论风险研究</w:t>
            </w:r>
          </w:p>
        </w:tc>
        <w:tc>
          <w:tcPr>
            <w:tcW w:w="1852" w:type="dxa"/>
            <w:vAlign w:val="center"/>
          </w:tcPr>
          <w:p w14:paraId="74A895F1"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新闻与传播学院</w:t>
            </w:r>
          </w:p>
        </w:tc>
        <w:tc>
          <w:tcPr>
            <w:tcW w:w="983" w:type="dxa"/>
            <w:vAlign w:val="center"/>
          </w:tcPr>
          <w:p w14:paraId="028D4640"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周金</w:t>
            </w:r>
            <w:proofErr w:type="gramStart"/>
            <w:r>
              <w:rPr>
                <w:rFonts w:ascii="仿宋" w:eastAsia="仿宋" w:hAnsi="仿宋" w:cs="仿宋" w:hint="eastAsia"/>
                <w:color w:val="000000"/>
                <w:kern w:val="0"/>
                <w:sz w:val="24"/>
                <w:lang w:bidi="ar"/>
              </w:rPr>
              <w:t>金</w:t>
            </w:r>
            <w:proofErr w:type="gramEnd"/>
          </w:p>
        </w:tc>
        <w:tc>
          <w:tcPr>
            <w:tcW w:w="838" w:type="dxa"/>
            <w:vMerge/>
            <w:vAlign w:val="center"/>
          </w:tcPr>
          <w:p w14:paraId="00CCB6EF"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48928C59"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719F1897" w14:textId="77777777" w:rsidTr="007D1592">
        <w:trPr>
          <w:trHeight w:val="990"/>
          <w:jc w:val="center"/>
        </w:trPr>
        <w:tc>
          <w:tcPr>
            <w:tcW w:w="904" w:type="dxa"/>
            <w:vAlign w:val="center"/>
          </w:tcPr>
          <w:p w14:paraId="7816E131"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20CA0352"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两岸一体史观下日据台湾报刊人文思想的中华民族共同体意识研究</w:t>
            </w:r>
          </w:p>
        </w:tc>
        <w:tc>
          <w:tcPr>
            <w:tcW w:w="1852" w:type="dxa"/>
            <w:vAlign w:val="center"/>
          </w:tcPr>
          <w:p w14:paraId="00EE37A3"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人文学院</w:t>
            </w:r>
          </w:p>
        </w:tc>
        <w:tc>
          <w:tcPr>
            <w:tcW w:w="983" w:type="dxa"/>
            <w:vAlign w:val="center"/>
          </w:tcPr>
          <w:p w14:paraId="4DD90955"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赖秀俞</w:t>
            </w:r>
          </w:p>
        </w:tc>
        <w:tc>
          <w:tcPr>
            <w:tcW w:w="838" w:type="dxa"/>
            <w:vMerge/>
            <w:vAlign w:val="center"/>
          </w:tcPr>
          <w:p w14:paraId="1A47E6A9"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5368AC19"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3278EC46" w14:textId="77777777" w:rsidTr="007D1592">
        <w:trPr>
          <w:trHeight w:val="990"/>
          <w:jc w:val="center"/>
        </w:trPr>
        <w:tc>
          <w:tcPr>
            <w:tcW w:w="904" w:type="dxa"/>
            <w:vAlign w:val="center"/>
          </w:tcPr>
          <w:p w14:paraId="7F7F4D11"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51BC7AE3"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大统战工作格局下香港宗教类报刊中国化的历史演进与经验启示研究</w:t>
            </w:r>
          </w:p>
        </w:tc>
        <w:tc>
          <w:tcPr>
            <w:tcW w:w="1852" w:type="dxa"/>
            <w:vAlign w:val="center"/>
          </w:tcPr>
          <w:p w14:paraId="46C33E17"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人文学院</w:t>
            </w:r>
          </w:p>
        </w:tc>
        <w:tc>
          <w:tcPr>
            <w:tcW w:w="983" w:type="dxa"/>
            <w:vAlign w:val="center"/>
          </w:tcPr>
          <w:p w14:paraId="4B31DA36"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杨刘秀子</w:t>
            </w:r>
          </w:p>
        </w:tc>
        <w:tc>
          <w:tcPr>
            <w:tcW w:w="838" w:type="dxa"/>
            <w:vMerge/>
            <w:vAlign w:val="center"/>
          </w:tcPr>
          <w:p w14:paraId="528D2BFF"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0CDDC270"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5B0494E4" w14:textId="77777777" w:rsidTr="007D1592">
        <w:trPr>
          <w:trHeight w:val="990"/>
          <w:jc w:val="center"/>
        </w:trPr>
        <w:tc>
          <w:tcPr>
            <w:tcW w:w="904" w:type="dxa"/>
            <w:vAlign w:val="center"/>
          </w:tcPr>
          <w:p w14:paraId="640D0C00"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63923C48"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俄罗斯越南关系对中国战略安全的影响与对策研究</w:t>
            </w:r>
          </w:p>
        </w:tc>
        <w:tc>
          <w:tcPr>
            <w:tcW w:w="1852" w:type="dxa"/>
            <w:vAlign w:val="center"/>
          </w:tcPr>
          <w:p w14:paraId="7C1F7FA7"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国际关系学院/华侨华人研究院</w:t>
            </w:r>
          </w:p>
        </w:tc>
        <w:tc>
          <w:tcPr>
            <w:tcW w:w="983" w:type="dxa"/>
            <w:vAlign w:val="center"/>
          </w:tcPr>
          <w:p w14:paraId="5F712047"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张舒翼</w:t>
            </w:r>
          </w:p>
        </w:tc>
        <w:tc>
          <w:tcPr>
            <w:tcW w:w="838" w:type="dxa"/>
            <w:vMerge w:val="restart"/>
            <w:vAlign w:val="center"/>
          </w:tcPr>
          <w:p w14:paraId="11F03251"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区域国别专项</w:t>
            </w:r>
          </w:p>
        </w:tc>
        <w:tc>
          <w:tcPr>
            <w:tcW w:w="837" w:type="dxa"/>
            <w:vAlign w:val="center"/>
          </w:tcPr>
          <w:p w14:paraId="46C6FDD4"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3C636FFE" w14:textId="77777777" w:rsidTr="007D1592">
        <w:trPr>
          <w:trHeight w:val="990"/>
          <w:jc w:val="center"/>
        </w:trPr>
        <w:tc>
          <w:tcPr>
            <w:tcW w:w="904" w:type="dxa"/>
            <w:vAlign w:val="center"/>
          </w:tcPr>
          <w:p w14:paraId="59D0D7BA"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3BF0DFCD"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 xml:space="preserve"> 美国国籍政策及对中国移民治理启示研究 </w:t>
            </w:r>
          </w:p>
        </w:tc>
        <w:tc>
          <w:tcPr>
            <w:tcW w:w="1852" w:type="dxa"/>
            <w:vAlign w:val="center"/>
          </w:tcPr>
          <w:p w14:paraId="22C67E29"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文学院</w:t>
            </w:r>
          </w:p>
        </w:tc>
        <w:tc>
          <w:tcPr>
            <w:tcW w:w="983" w:type="dxa"/>
            <w:vAlign w:val="center"/>
          </w:tcPr>
          <w:p w14:paraId="33E2B7B2"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康君如</w:t>
            </w:r>
            <w:proofErr w:type="gramEnd"/>
          </w:p>
        </w:tc>
        <w:tc>
          <w:tcPr>
            <w:tcW w:w="838" w:type="dxa"/>
            <w:vMerge/>
            <w:vAlign w:val="center"/>
          </w:tcPr>
          <w:p w14:paraId="1BAE0879"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7E87D781"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6A47712F" w14:textId="77777777" w:rsidTr="007D1592">
        <w:trPr>
          <w:trHeight w:val="990"/>
          <w:jc w:val="center"/>
        </w:trPr>
        <w:tc>
          <w:tcPr>
            <w:tcW w:w="904" w:type="dxa"/>
            <w:vAlign w:val="center"/>
          </w:tcPr>
          <w:p w14:paraId="4DCC2E20"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2D126D13"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老挝民族精英对华认知新变化、影响及对策研究</w:t>
            </w:r>
          </w:p>
        </w:tc>
        <w:tc>
          <w:tcPr>
            <w:tcW w:w="1852" w:type="dxa"/>
            <w:vAlign w:val="center"/>
          </w:tcPr>
          <w:p w14:paraId="36EF3783"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国际关系学院/华侨华人研究院</w:t>
            </w:r>
          </w:p>
        </w:tc>
        <w:tc>
          <w:tcPr>
            <w:tcW w:w="983" w:type="dxa"/>
            <w:vAlign w:val="center"/>
          </w:tcPr>
          <w:p w14:paraId="12316C9E"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鱼耀</w:t>
            </w:r>
            <w:proofErr w:type="gramEnd"/>
          </w:p>
        </w:tc>
        <w:tc>
          <w:tcPr>
            <w:tcW w:w="838" w:type="dxa"/>
            <w:vMerge/>
            <w:vAlign w:val="center"/>
          </w:tcPr>
          <w:p w14:paraId="0D209C94"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37238F91"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2A60BC27" w14:textId="77777777" w:rsidTr="007D1592">
        <w:trPr>
          <w:trHeight w:val="990"/>
          <w:jc w:val="center"/>
        </w:trPr>
        <w:tc>
          <w:tcPr>
            <w:tcW w:w="904" w:type="dxa"/>
            <w:vAlign w:val="center"/>
          </w:tcPr>
          <w:p w14:paraId="51CE0B2A"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688F2418"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大国对抗风险下的中亚资源开发研究</w:t>
            </w:r>
          </w:p>
        </w:tc>
        <w:tc>
          <w:tcPr>
            <w:tcW w:w="1852" w:type="dxa"/>
            <w:vAlign w:val="center"/>
          </w:tcPr>
          <w:p w14:paraId="5668A4C1"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国际关系学院/华侨华人研究院</w:t>
            </w:r>
          </w:p>
        </w:tc>
        <w:tc>
          <w:tcPr>
            <w:tcW w:w="983" w:type="dxa"/>
            <w:vAlign w:val="center"/>
          </w:tcPr>
          <w:p w14:paraId="07855982"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赵子乐</w:t>
            </w:r>
          </w:p>
        </w:tc>
        <w:tc>
          <w:tcPr>
            <w:tcW w:w="838" w:type="dxa"/>
            <w:vMerge/>
            <w:vAlign w:val="center"/>
          </w:tcPr>
          <w:p w14:paraId="21C77817"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7C56D61B"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66901621" w14:textId="77777777" w:rsidTr="007D1592">
        <w:trPr>
          <w:trHeight w:val="990"/>
          <w:jc w:val="center"/>
        </w:trPr>
        <w:tc>
          <w:tcPr>
            <w:tcW w:w="904" w:type="dxa"/>
            <w:vAlign w:val="center"/>
          </w:tcPr>
          <w:p w14:paraId="5C1EDED6"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27579A33"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面向多源华侨商业数据的知识库构建与大模型协同机制研究</w:t>
            </w:r>
          </w:p>
        </w:tc>
        <w:tc>
          <w:tcPr>
            <w:tcW w:w="1852" w:type="dxa"/>
            <w:vAlign w:val="center"/>
          </w:tcPr>
          <w:p w14:paraId="66C363ED"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管理学院</w:t>
            </w:r>
          </w:p>
        </w:tc>
        <w:tc>
          <w:tcPr>
            <w:tcW w:w="983" w:type="dxa"/>
            <w:vAlign w:val="center"/>
          </w:tcPr>
          <w:p w14:paraId="70DD6D49"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张宗翔</w:t>
            </w:r>
            <w:proofErr w:type="gramEnd"/>
          </w:p>
        </w:tc>
        <w:tc>
          <w:tcPr>
            <w:tcW w:w="838" w:type="dxa"/>
            <w:vMerge w:val="restart"/>
            <w:vAlign w:val="center"/>
          </w:tcPr>
          <w:p w14:paraId="79B682D3" w14:textId="77777777" w:rsidR="004F425E" w:rsidRDefault="004F425E" w:rsidP="007D1592">
            <w:pPr>
              <w:spacing w:line="300" w:lineRule="exact"/>
              <w:jc w:val="center"/>
              <w:rPr>
                <w:rFonts w:ascii="仿宋" w:eastAsia="仿宋" w:hAnsi="仿宋" w:cs="仿宋"/>
                <w:sz w:val="24"/>
              </w:rPr>
            </w:pPr>
            <w:r>
              <w:rPr>
                <w:rFonts w:ascii="仿宋" w:eastAsia="仿宋" w:hAnsi="仿宋" w:cs="仿宋" w:hint="eastAsia"/>
                <w:sz w:val="24"/>
              </w:rPr>
              <w:t>大数据与人工</w:t>
            </w:r>
            <w:r>
              <w:rPr>
                <w:rFonts w:ascii="仿宋" w:eastAsia="仿宋" w:hAnsi="仿宋" w:cs="仿宋" w:hint="eastAsia"/>
                <w:sz w:val="24"/>
              </w:rPr>
              <w:lastRenderedPageBreak/>
              <w:t>智能赋能研究</w:t>
            </w:r>
          </w:p>
        </w:tc>
        <w:tc>
          <w:tcPr>
            <w:tcW w:w="837" w:type="dxa"/>
            <w:vAlign w:val="center"/>
          </w:tcPr>
          <w:p w14:paraId="69C5DBD9" w14:textId="77777777" w:rsidR="004F425E" w:rsidRDefault="004F425E" w:rsidP="007D1592">
            <w:pPr>
              <w:spacing w:line="300" w:lineRule="exact"/>
              <w:jc w:val="center"/>
              <w:rPr>
                <w:rFonts w:ascii="仿宋" w:eastAsia="仿宋" w:hAnsi="仿宋" w:cs="仿宋"/>
                <w:sz w:val="24"/>
              </w:rPr>
            </w:pPr>
            <w:r>
              <w:rPr>
                <w:rFonts w:ascii="仿宋" w:eastAsia="仿宋" w:hAnsi="仿宋" w:cs="仿宋" w:hint="eastAsia"/>
                <w:sz w:val="24"/>
              </w:rPr>
              <w:lastRenderedPageBreak/>
              <w:t>10</w:t>
            </w:r>
          </w:p>
        </w:tc>
      </w:tr>
      <w:tr w:rsidR="004F425E" w14:paraId="652D42CE" w14:textId="77777777" w:rsidTr="007D1592">
        <w:trPr>
          <w:trHeight w:val="990"/>
          <w:jc w:val="center"/>
        </w:trPr>
        <w:tc>
          <w:tcPr>
            <w:tcW w:w="904" w:type="dxa"/>
            <w:vAlign w:val="center"/>
          </w:tcPr>
          <w:p w14:paraId="40ADEB52"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6B2981E0"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数智技术</w:t>
            </w:r>
            <w:proofErr w:type="gramEnd"/>
            <w:r>
              <w:rPr>
                <w:rFonts w:ascii="仿宋" w:eastAsia="仿宋" w:hAnsi="仿宋" w:cs="仿宋" w:hint="eastAsia"/>
                <w:color w:val="000000"/>
                <w:kern w:val="0"/>
                <w:sz w:val="24"/>
                <w:lang w:bidi="ar"/>
              </w:rPr>
              <w:t>驱动视角下政务</w:t>
            </w:r>
            <w:proofErr w:type="gramStart"/>
            <w:r>
              <w:rPr>
                <w:rFonts w:ascii="仿宋" w:eastAsia="仿宋" w:hAnsi="仿宋" w:cs="仿宋" w:hint="eastAsia"/>
                <w:color w:val="000000"/>
                <w:kern w:val="0"/>
                <w:sz w:val="24"/>
                <w:lang w:bidi="ar"/>
              </w:rPr>
              <w:t>微博危机</w:t>
            </w:r>
            <w:proofErr w:type="gramEnd"/>
            <w:r>
              <w:rPr>
                <w:rFonts w:ascii="仿宋" w:eastAsia="仿宋" w:hAnsi="仿宋" w:cs="仿宋" w:hint="eastAsia"/>
                <w:color w:val="000000"/>
                <w:kern w:val="0"/>
                <w:sz w:val="24"/>
                <w:lang w:bidi="ar"/>
              </w:rPr>
              <w:t>信息发布有效性评价与提升研究</w:t>
            </w:r>
          </w:p>
        </w:tc>
        <w:tc>
          <w:tcPr>
            <w:tcW w:w="1852" w:type="dxa"/>
            <w:vAlign w:val="center"/>
          </w:tcPr>
          <w:p w14:paraId="32686D74"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计算传播研究中心</w:t>
            </w:r>
          </w:p>
        </w:tc>
        <w:tc>
          <w:tcPr>
            <w:tcW w:w="983" w:type="dxa"/>
            <w:vAlign w:val="center"/>
          </w:tcPr>
          <w:p w14:paraId="6B3BD760"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陈苗苗</w:t>
            </w:r>
          </w:p>
        </w:tc>
        <w:tc>
          <w:tcPr>
            <w:tcW w:w="838" w:type="dxa"/>
            <w:vMerge/>
            <w:vAlign w:val="center"/>
          </w:tcPr>
          <w:p w14:paraId="71C26EB7" w14:textId="77777777" w:rsidR="004F425E" w:rsidRDefault="004F425E" w:rsidP="007D1592">
            <w:pPr>
              <w:spacing w:line="300" w:lineRule="exact"/>
              <w:jc w:val="center"/>
              <w:rPr>
                <w:rFonts w:ascii="仿宋" w:eastAsia="仿宋" w:hAnsi="仿宋" w:cs="仿宋"/>
                <w:sz w:val="24"/>
              </w:rPr>
            </w:pPr>
          </w:p>
        </w:tc>
        <w:tc>
          <w:tcPr>
            <w:tcW w:w="837" w:type="dxa"/>
            <w:vAlign w:val="center"/>
          </w:tcPr>
          <w:p w14:paraId="4B1E5199"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67947F80" w14:textId="77777777" w:rsidTr="007D1592">
        <w:trPr>
          <w:trHeight w:val="990"/>
          <w:jc w:val="center"/>
        </w:trPr>
        <w:tc>
          <w:tcPr>
            <w:tcW w:w="904" w:type="dxa"/>
            <w:vAlign w:val="center"/>
          </w:tcPr>
          <w:p w14:paraId="1468CC14"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1369DCAE"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智能中文教育下师生人工智能素养调查评价研究</w:t>
            </w:r>
          </w:p>
        </w:tc>
        <w:tc>
          <w:tcPr>
            <w:tcW w:w="1852" w:type="dxa"/>
            <w:vAlign w:val="center"/>
          </w:tcPr>
          <w:p w14:paraId="5F43C8A4"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文学院</w:t>
            </w:r>
          </w:p>
        </w:tc>
        <w:tc>
          <w:tcPr>
            <w:tcW w:w="983" w:type="dxa"/>
            <w:vAlign w:val="center"/>
          </w:tcPr>
          <w:p w14:paraId="467515B7"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龙润田</w:t>
            </w:r>
            <w:proofErr w:type="gramEnd"/>
          </w:p>
        </w:tc>
        <w:tc>
          <w:tcPr>
            <w:tcW w:w="838" w:type="dxa"/>
            <w:vMerge/>
            <w:vAlign w:val="center"/>
          </w:tcPr>
          <w:p w14:paraId="14CEFB07"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63810472"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28E5C2D8" w14:textId="77777777" w:rsidTr="007D1592">
        <w:trPr>
          <w:trHeight w:val="990"/>
          <w:jc w:val="center"/>
        </w:trPr>
        <w:tc>
          <w:tcPr>
            <w:tcW w:w="904" w:type="dxa"/>
            <w:vAlign w:val="center"/>
          </w:tcPr>
          <w:p w14:paraId="46EC3587"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6ECE68B0"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文化传播的AI智能化转型——基于中华文化经典符号谱系基因库的前沿研究</w:t>
            </w:r>
          </w:p>
        </w:tc>
        <w:tc>
          <w:tcPr>
            <w:tcW w:w="1852" w:type="dxa"/>
            <w:vAlign w:val="center"/>
          </w:tcPr>
          <w:p w14:paraId="7F93104F"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新闻与传播学院</w:t>
            </w:r>
          </w:p>
        </w:tc>
        <w:tc>
          <w:tcPr>
            <w:tcW w:w="983" w:type="dxa"/>
            <w:vAlign w:val="center"/>
          </w:tcPr>
          <w:p w14:paraId="47E5A7F3" w14:textId="77777777" w:rsidR="004F425E" w:rsidRDefault="004F425E" w:rsidP="007D1592">
            <w:pPr>
              <w:widowControl/>
              <w:jc w:val="center"/>
              <w:textAlignment w:val="center"/>
              <w:rPr>
                <w:rFonts w:ascii="仿宋" w:eastAsia="仿宋" w:hAnsi="仿宋" w:cs="仿宋"/>
                <w:b/>
                <w:bCs/>
                <w:sz w:val="24"/>
              </w:rPr>
            </w:pPr>
            <w:proofErr w:type="gramStart"/>
            <w:r>
              <w:rPr>
                <w:rFonts w:ascii="仿宋" w:eastAsia="仿宋" w:hAnsi="仿宋" w:cs="仿宋" w:hint="eastAsia"/>
                <w:color w:val="000000"/>
                <w:kern w:val="0"/>
                <w:sz w:val="24"/>
                <w:lang w:bidi="ar"/>
              </w:rPr>
              <w:t>赵甜芳</w:t>
            </w:r>
            <w:proofErr w:type="gramEnd"/>
          </w:p>
        </w:tc>
        <w:tc>
          <w:tcPr>
            <w:tcW w:w="838" w:type="dxa"/>
            <w:vMerge/>
            <w:vAlign w:val="center"/>
          </w:tcPr>
          <w:p w14:paraId="5068FBDA"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6692CD95"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5A14AF25" w14:textId="77777777" w:rsidTr="007D1592">
        <w:trPr>
          <w:trHeight w:val="990"/>
          <w:jc w:val="center"/>
        </w:trPr>
        <w:tc>
          <w:tcPr>
            <w:tcW w:w="904" w:type="dxa"/>
            <w:vAlign w:val="center"/>
          </w:tcPr>
          <w:p w14:paraId="117099A9" w14:textId="77777777" w:rsidR="004F425E" w:rsidRDefault="004F425E" w:rsidP="004F425E">
            <w:pPr>
              <w:numPr>
                <w:ilvl w:val="0"/>
                <w:numId w:val="1"/>
              </w:numPr>
              <w:spacing w:line="300" w:lineRule="exact"/>
              <w:jc w:val="center"/>
              <w:rPr>
                <w:rFonts w:ascii="仿宋" w:eastAsia="仿宋" w:hAnsi="仿宋" w:cs="仿宋"/>
                <w:sz w:val="24"/>
              </w:rPr>
            </w:pPr>
          </w:p>
        </w:tc>
        <w:tc>
          <w:tcPr>
            <w:tcW w:w="3016" w:type="dxa"/>
            <w:vAlign w:val="center"/>
          </w:tcPr>
          <w:p w14:paraId="27C39CEC"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数字赋能基层协商治理的制度适配性研究</w:t>
            </w:r>
          </w:p>
        </w:tc>
        <w:tc>
          <w:tcPr>
            <w:tcW w:w="1852" w:type="dxa"/>
            <w:vAlign w:val="center"/>
          </w:tcPr>
          <w:p w14:paraId="1667C9E0"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国际关系学院/华侨华人研究院</w:t>
            </w:r>
          </w:p>
        </w:tc>
        <w:tc>
          <w:tcPr>
            <w:tcW w:w="983" w:type="dxa"/>
            <w:vAlign w:val="center"/>
          </w:tcPr>
          <w:p w14:paraId="26B85C6F" w14:textId="77777777" w:rsidR="004F425E" w:rsidRDefault="004F425E" w:rsidP="007D1592">
            <w:pPr>
              <w:widowControl/>
              <w:jc w:val="center"/>
              <w:textAlignment w:val="center"/>
              <w:rPr>
                <w:rFonts w:ascii="仿宋" w:eastAsia="仿宋" w:hAnsi="仿宋" w:cs="仿宋"/>
                <w:b/>
                <w:bCs/>
                <w:sz w:val="24"/>
              </w:rPr>
            </w:pPr>
            <w:r>
              <w:rPr>
                <w:rFonts w:ascii="仿宋" w:eastAsia="仿宋" w:hAnsi="仿宋" w:cs="仿宋" w:hint="eastAsia"/>
                <w:color w:val="000000"/>
                <w:kern w:val="0"/>
                <w:sz w:val="24"/>
                <w:lang w:bidi="ar"/>
              </w:rPr>
              <w:t>李荣鑫</w:t>
            </w:r>
          </w:p>
        </w:tc>
        <w:tc>
          <w:tcPr>
            <w:tcW w:w="838" w:type="dxa"/>
            <w:vMerge/>
            <w:vAlign w:val="center"/>
          </w:tcPr>
          <w:p w14:paraId="09BEE1CC" w14:textId="77777777" w:rsidR="004F425E" w:rsidRDefault="004F425E" w:rsidP="007D1592">
            <w:pPr>
              <w:spacing w:line="300" w:lineRule="exact"/>
              <w:jc w:val="center"/>
              <w:rPr>
                <w:rFonts w:ascii="仿宋" w:eastAsia="仿宋" w:hAnsi="仿宋" w:cs="仿宋"/>
                <w:b/>
                <w:bCs/>
                <w:sz w:val="24"/>
              </w:rPr>
            </w:pPr>
          </w:p>
        </w:tc>
        <w:tc>
          <w:tcPr>
            <w:tcW w:w="837" w:type="dxa"/>
            <w:vAlign w:val="center"/>
          </w:tcPr>
          <w:p w14:paraId="7AE90FEB"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10</w:t>
            </w:r>
          </w:p>
        </w:tc>
      </w:tr>
      <w:tr w:rsidR="004F425E" w14:paraId="022F84D8" w14:textId="77777777" w:rsidTr="007D1592">
        <w:trPr>
          <w:trHeight w:val="990"/>
          <w:jc w:val="center"/>
        </w:trPr>
        <w:tc>
          <w:tcPr>
            <w:tcW w:w="7593" w:type="dxa"/>
            <w:gridSpan w:val="5"/>
            <w:vAlign w:val="center"/>
          </w:tcPr>
          <w:p w14:paraId="668FF32F" w14:textId="77777777" w:rsidR="004F425E" w:rsidRDefault="004F425E" w:rsidP="007D1592">
            <w:pPr>
              <w:spacing w:line="300" w:lineRule="exact"/>
              <w:jc w:val="center"/>
              <w:rPr>
                <w:rFonts w:ascii="仿宋" w:eastAsia="仿宋" w:hAnsi="仿宋" w:cs="仿宋"/>
                <w:b/>
                <w:bCs/>
                <w:sz w:val="24"/>
              </w:rPr>
            </w:pPr>
            <w:r>
              <w:rPr>
                <w:rFonts w:ascii="仿宋" w:eastAsia="仿宋" w:hAnsi="仿宋" w:cs="仿宋" w:hint="eastAsia"/>
                <w:sz w:val="24"/>
              </w:rPr>
              <w:t>合计</w:t>
            </w:r>
          </w:p>
        </w:tc>
        <w:tc>
          <w:tcPr>
            <w:tcW w:w="837" w:type="dxa"/>
            <w:vAlign w:val="center"/>
          </w:tcPr>
          <w:p w14:paraId="3B713C9F" w14:textId="77777777" w:rsidR="004F425E" w:rsidRDefault="004F425E" w:rsidP="007D1592">
            <w:pPr>
              <w:spacing w:line="300" w:lineRule="exact"/>
              <w:jc w:val="center"/>
              <w:rPr>
                <w:rFonts w:ascii="仿宋" w:eastAsia="仿宋" w:hAnsi="仿宋" w:cs="仿宋"/>
                <w:sz w:val="24"/>
              </w:rPr>
            </w:pPr>
            <w:r>
              <w:rPr>
                <w:rFonts w:ascii="仿宋" w:eastAsia="仿宋" w:hAnsi="仿宋" w:cs="仿宋" w:hint="eastAsia"/>
                <w:sz w:val="24"/>
              </w:rPr>
              <w:t>140</w:t>
            </w:r>
          </w:p>
        </w:tc>
      </w:tr>
    </w:tbl>
    <w:p w14:paraId="74080737" w14:textId="77777777" w:rsidR="00BF1570" w:rsidRDefault="00BF1570"/>
    <w:sectPr w:rsidR="00BF15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D51725B"/>
    <w:multiLevelType w:val="singleLevel"/>
    <w:tmpl w:val="BD51725B"/>
    <w:lvl w:ilvl="0">
      <w:start w:val="1"/>
      <w:numFmt w:val="decimal"/>
      <w:lvlText w:val="%1"/>
      <w:lvlJc w:val="left"/>
      <w:pPr>
        <w:tabs>
          <w:tab w:val="num" w:pos="420"/>
        </w:tabs>
        <w:ind w:left="425" w:hanging="425"/>
      </w:pPr>
      <w:rPr>
        <w:rFonts w:hint="default"/>
      </w:rPr>
    </w:lvl>
  </w:abstractNum>
  <w:num w:numId="1" w16cid:durableId="197672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25E"/>
    <w:rsid w:val="004F425E"/>
    <w:rsid w:val="00BF1570"/>
    <w:rsid w:val="00DA1B49"/>
    <w:rsid w:val="00E34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83798"/>
  <w15:chartTrackingRefBased/>
  <w15:docId w15:val="{46D39F9F-A18F-4EA1-8456-94CB2DA0B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425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346</Words>
  <Characters>361</Characters>
  <Application>Microsoft Office Word</Application>
  <DocSecurity>0</DocSecurity>
  <Lines>90</Lines>
  <Paragraphs>88</Paragraphs>
  <ScaleCrop>false</ScaleCrop>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赵文婷</dc:creator>
  <cp:keywords/>
  <dc:description/>
  <cp:lastModifiedBy>匡楠</cp:lastModifiedBy>
  <cp:revision>2</cp:revision>
  <dcterms:created xsi:type="dcterms:W3CDTF">2025-07-07T07:55:00Z</dcterms:created>
  <dcterms:modified xsi:type="dcterms:W3CDTF">2025-12-26T02:56:00Z</dcterms:modified>
</cp:coreProperties>
</file>